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B2" w:rsidRPr="002E47DB" w:rsidRDefault="00C412B2" w:rsidP="004F468F">
      <w:pPr>
        <w:kinsoku w:val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3899125</wp:posOffset>
                </wp:positionH>
                <wp:positionV relativeFrom="paragraph">
                  <wp:posOffset>-4523030</wp:posOffset>
                </wp:positionV>
                <wp:extent cx="1860697" cy="361507"/>
                <wp:effectExtent l="0" t="0" r="25400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697" cy="36150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7DB" w:rsidRPr="005420E2" w:rsidRDefault="002E47DB">
                            <w:pPr>
                              <w:rPr>
                                <w:b/>
                              </w:rPr>
                            </w:pPr>
                            <w:r w:rsidRPr="005420E2">
                              <w:rPr>
                                <w:rFonts w:hint="eastAsia"/>
                                <w:b/>
                              </w:rPr>
                              <w:t>お名前：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7pt;margin-top:-356.15pt;width:146.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" filled="f" strokecolor="black [3213]" strokeweight=".5pt">
                <v:textbox inset="0,0,0,0">
                  <w:txbxContent>
                    <w:p w:rsidR="002E47DB" w:rsidRPr="005420E2" w:rsidRDefault="002E47DB">
                      <w:pPr>
                        <w:rPr>
                          <w:b/>
                        </w:rPr>
                      </w:pPr>
                      <w:r w:rsidRPr="005420E2">
                        <w:rPr>
                          <w:rFonts w:hint="eastAsia"/>
                          <w:b/>
                        </w:rPr>
                        <w:t>お名前：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12B2" w:rsidRPr="002E47DB" w:rsidSect="00C412B2">
      <w:headerReference w:type="default" r:id="rId7"/>
      <w:pgSz w:w="11906" w:h="16838" w:code="9"/>
      <w:pgMar w:top="6804" w:right="1418" w:bottom="794" w:left="1418" w:header="0" w:footer="0" w:gutter="0"/>
      <w:cols w:space="425"/>
      <w:docGrid w:type="linesAndChars" w:linePitch="343" w:charSpace="-51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7DB" w:rsidRDefault="002E47DB" w:rsidP="000D0826">
      <w:r>
        <w:separator/>
      </w:r>
    </w:p>
  </w:endnote>
  <w:endnote w:type="continuationSeparator" w:id="0">
    <w:p w:rsidR="002E47DB" w:rsidRDefault="002E47DB" w:rsidP="000D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7DB" w:rsidRDefault="002E47DB" w:rsidP="000D0826">
      <w:r>
        <w:separator/>
      </w:r>
    </w:p>
  </w:footnote>
  <w:footnote w:type="continuationSeparator" w:id="0">
    <w:p w:rsidR="002E47DB" w:rsidRDefault="002E47DB" w:rsidP="000D0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DB" w:rsidRDefault="002E47DB" w:rsidP="004F468F">
    <w:pPr>
      <w:rPr>
        <w:u w:val="single"/>
      </w:rPr>
    </w:pPr>
  </w:p>
  <w:p w:rsidR="002E47DB" w:rsidRPr="004F468F" w:rsidRDefault="002E47DB" w:rsidP="004F468F">
    <w:pPr>
      <w:jc w:val="center"/>
      <w:rPr>
        <w:rFonts w:asciiTheme="majorEastAsia" w:eastAsiaTheme="majorEastAsia" w:hAnsiTheme="majorEastAsia"/>
        <w:sz w:val="28"/>
        <w:szCs w:val="28"/>
        <w:u w:val="single"/>
      </w:rPr>
    </w:pPr>
    <w:r w:rsidRPr="004F468F">
      <w:rPr>
        <w:rFonts w:asciiTheme="majorEastAsia" w:eastAsiaTheme="majorEastAsia" w:hAnsiTheme="majorEastAsia" w:hint="eastAsia"/>
        <w:sz w:val="28"/>
        <w:szCs w:val="28"/>
        <w:u w:val="single"/>
      </w:rPr>
      <w:t>福岡県</w:t>
    </w:r>
    <w:r w:rsidRPr="004F468F">
      <w:rPr>
        <w:rFonts w:asciiTheme="majorEastAsia" w:eastAsiaTheme="majorEastAsia" w:hAnsiTheme="majorEastAsia"/>
        <w:sz w:val="28"/>
        <w:szCs w:val="28"/>
        <w:u w:val="single"/>
      </w:rPr>
      <w:t>事業承継・引継ぎ支援センタ</w:t>
    </w:r>
    <w:r w:rsidRPr="004F468F">
      <w:rPr>
        <w:rFonts w:asciiTheme="majorEastAsia" w:eastAsiaTheme="majorEastAsia" w:hAnsiTheme="majorEastAsia" w:hint="eastAsia"/>
        <w:sz w:val="28"/>
        <w:szCs w:val="28"/>
        <w:u w:val="single"/>
      </w:rPr>
      <w:t>ー提出書類③＜論文＞</w:t>
    </w:r>
  </w:p>
  <w:p w:rsidR="002E47DB" w:rsidRDefault="002E47DB" w:rsidP="004F468F">
    <w:pPr>
      <w:rPr>
        <w:b/>
      </w:rPr>
    </w:pPr>
  </w:p>
  <w:p w:rsidR="002E47DB" w:rsidRDefault="002E47DB" w:rsidP="004F468F">
    <w:pPr>
      <w:rPr>
        <w:b/>
      </w:rPr>
    </w:pPr>
  </w:p>
  <w:p w:rsidR="002E47DB" w:rsidRPr="00C02B9D" w:rsidRDefault="002E47DB" w:rsidP="004F468F">
    <w:pPr>
      <w:rPr>
        <w:b/>
      </w:rPr>
    </w:pPr>
    <w:r w:rsidRPr="00C02B9D">
      <w:rPr>
        <w:rFonts w:hint="eastAsia"/>
        <w:b/>
      </w:rPr>
      <w:t>＜論文テーマ＞</w:t>
    </w:r>
  </w:p>
  <w:p w:rsidR="002E47DB" w:rsidRDefault="0054304B" w:rsidP="004F468F">
    <w:r>
      <w:rPr>
        <w:rFonts w:hint="eastAsia"/>
      </w:rPr>
      <w:t>下記に一部を紹介しているような</w:t>
    </w:r>
    <w:r w:rsidR="002E47DB">
      <w:rPr>
        <w:rFonts w:hint="eastAsia"/>
      </w:rPr>
      <w:t>中小企業における事業承継の現状を踏まえ、公的機関としての</w:t>
    </w:r>
    <w:r w:rsidR="002E47DB" w:rsidRPr="0054304B">
      <w:rPr>
        <w:rFonts w:hint="eastAsia"/>
        <w:u w:val="single"/>
      </w:rPr>
      <w:t>事業承継・引継ぎ支援センターの役割</w:t>
    </w:r>
    <w:r w:rsidR="002E47DB">
      <w:rPr>
        <w:rFonts w:hint="eastAsia"/>
      </w:rPr>
      <w:t>と</w:t>
    </w:r>
    <w:r w:rsidRPr="0054304B">
      <w:rPr>
        <w:rFonts w:hint="eastAsia"/>
        <w:u w:val="single"/>
      </w:rPr>
      <w:t>統括責任者</w:t>
    </w:r>
    <w:r w:rsidR="002E47DB" w:rsidRPr="0054304B">
      <w:rPr>
        <w:rFonts w:hint="eastAsia"/>
        <w:u w:val="single"/>
      </w:rPr>
      <w:t>として取り組むべき課題</w:t>
    </w:r>
    <w:r w:rsidR="002E47DB">
      <w:rPr>
        <w:rFonts w:hint="eastAsia"/>
      </w:rPr>
      <w:t>について、</w:t>
    </w:r>
    <w:r w:rsidR="002E47DB" w:rsidRPr="00DE15AC">
      <w:rPr>
        <w:rFonts w:hint="eastAsia"/>
        <w:u w:val="single"/>
      </w:rPr>
      <w:t>自身が考えること</w:t>
    </w:r>
    <w:r w:rsidR="002E47DB">
      <w:rPr>
        <w:rFonts w:hint="eastAsia"/>
      </w:rPr>
      <w:t>を述べてください。（８００字以内）</w:t>
    </w:r>
  </w:p>
  <w:p w:rsidR="002E47DB" w:rsidRDefault="002E47DB" w:rsidP="004F468F"/>
  <w:p w:rsidR="002E47DB" w:rsidRPr="004F468F" w:rsidRDefault="0054304B" w:rsidP="004F468F">
    <w:pPr>
      <w:rPr>
        <w:sz w:val="28"/>
        <w:szCs w:val="28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AA2AD" wp14:editId="368F9EF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25400" b="18415"/>
              <wp:wrapSquare wrapText="bothSides"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  <a:prstDash val="dash"/>
                      </a:ln>
                      <a:effectLst/>
                    </wps:spPr>
                    <wps:txbx>
                      <w:txbxContent>
                        <w:p w:rsidR="0054304B" w:rsidRPr="00C02B9D" w:rsidRDefault="0054304B" w:rsidP="004F468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＜中小企業における事業承継の現状（一部紹介）</w:t>
                          </w:r>
                          <w:r w:rsidRPr="00C02B9D">
                            <w:rPr>
                              <w:rFonts w:hint="eastAsia"/>
                              <w:b/>
                            </w:rPr>
                            <w:t>＞</w:t>
                          </w:r>
                        </w:p>
                        <w:p w:rsidR="0054304B" w:rsidRDefault="0054304B" w:rsidP="004F468F">
                          <w:pPr>
                            <w:ind w:firstLineChars="100" w:firstLine="240"/>
                          </w:pPr>
                          <w:r>
                            <w:rPr>
                              <w:rFonts w:hint="eastAsia"/>
                            </w:rPr>
                            <w:t>社長の平均年齢は右肩上がりで上昇するとともに、中小企業の後継者不在率は６７％となっています。特に２０２０年に年間約５万社となった休廃業・解散企業のうち９５％は小規模事業者で、その後継者不在は深刻化しています。また、休廃業・解散企業の６０％以上を黒字企業が占めており、事業承継・引継ぎ支援は、わが国の経済基盤の安定を左右する重要な業務です。</w:t>
                          </w:r>
                        </w:p>
                        <w:p w:rsidR="0054304B" w:rsidRDefault="0054304B" w:rsidP="004F468F">
                          <w:pPr>
                            <w:ind w:firstLineChars="100" w:firstLine="240"/>
                          </w:pPr>
                          <w:r>
                            <w:rPr>
                              <w:rFonts w:hint="eastAsia"/>
                            </w:rPr>
                            <w:t>第三者承継、親族内承継など、承継の方法は様々ですが、どちらにおいても一番大切なことは現経営者に「承継の覚悟と承継時期の決定を促す」ことです。</w:t>
                          </w:r>
                        </w:p>
                        <w:p w:rsidR="0054304B" w:rsidRPr="0003424F" w:rsidRDefault="0054304B" w:rsidP="0003424F">
                          <w:r>
                            <w:rPr>
                              <w:rFonts w:hint="eastAsia"/>
                            </w:rPr>
                            <w:t>９３．６％が親族承継であった１９８３年以降、年々親族承継率は減少し、２０１９年には５２，７％となる一方、第三者承継は増加傾向にあります。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AA2AD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" filled="f" strokeweight=".5pt">
              <v:fill o:detectmouseclick="t"/>
              <v:stroke dashstyle="dash"/>
              <v:textbox style="mso-fit-shape-to-text:t" inset="5.85pt,.7pt,5.85pt,.7pt">
                <w:txbxContent>
                  <w:p w:rsidR="0054304B" w:rsidRPr="00C02B9D" w:rsidRDefault="0054304B" w:rsidP="004F468F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＜中小企業における事業承継の現状（一部紹介）</w:t>
                    </w:r>
                    <w:r w:rsidRPr="00C02B9D">
                      <w:rPr>
                        <w:rFonts w:hint="eastAsia"/>
                        <w:b/>
                      </w:rPr>
                      <w:t>＞</w:t>
                    </w:r>
                  </w:p>
                  <w:p w:rsidR="0054304B" w:rsidRDefault="0054304B" w:rsidP="004F468F">
                    <w:pPr>
                      <w:ind w:firstLineChars="100" w:firstLine="240"/>
                    </w:pPr>
                    <w:r>
                      <w:rPr>
                        <w:rFonts w:hint="eastAsia"/>
                      </w:rPr>
                      <w:t>社長の平均年齢は右肩上がりで上昇するとともに、中小企業の後継者不在率は６７％となっています。特に２０２０年に年間約５万社となった休廃業・解散企業のうち９５％は小規模事業者で、その後継者不在は深刻化しています。また、休廃業・解散企業の６０％以上を黒字企業が占めており、事業承継・引継ぎ支援は、わが国の経済基盤の安定を左右する重要な業務です。</w:t>
                    </w:r>
                  </w:p>
                  <w:p w:rsidR="0054304B" w:rsidRDefault="0054304B" w:rsidP="004F468F">
                    <w:pPr>
                      <w:ind w:firstLineChars="100" w:firstLine="240"/>
                    </w:pPr>
                    <w:r>
                      <w:rPr>
                        <w:rFonts w:hint="eastAsia"/>
                      </w:rPr>
                      <w:t>第三者承継、親族内承継など、承継の方法は様々ですが、どちらにおいても一番大切なことは現経営者に「承継の覚悟と承継時期の決定を促す」ことです。</w:t>
                    </w:r>
                  </w:p>
                  <w:p w:rsidR="0054304B" w:rsidRPr="0003424F" w:rsidRDefault="0054304B" w:rsidP="0003424F">
                    <w:r>
                      <w:rPr>
                        <w:rFonts w:hint="eastAsia"/>
                      </w:rPr>
                      <w:t>９３．６％が親族承継であった１９８３年以降、年々親族承継率は減少し、２０１９年には５２，７％となる一方、第三者承継は増加傾向にあります。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2E47DB" w:rsidRDefault="002E47DB" w:rsidP="004F468F">
    <w:pPr>
      <w:pStyle w:val="a3"/>
    </w:pPr>
  </w:p>
  <w:p w:rsidR="002E47DB" w:rsidRDefault="002E47DB" w:rsidP="004F468F">
    <w:pPr>
      <w:pStyle w:val="a3"/>
    </w:pPr>
    <w:r>
      <w:rPr>
        <w:rFonts w:hint="eastAsia"/>
      </w:rPr>
      <w:t>※右上のお名前と下記記入欄に入力してください。</w:t>
    </w:r>
  </w:p>
  <w:p w:rsidR="002E47DB" w:rsidRPr="00C412B2" w:rsidRDefault="002E47DB" w:rsidP="004F468F">
    <w:pPr>
      <w:pStyle w:val="a3"/>
    </w:pPr>
  </w:p>
  <w:p w:rsidR="002E47DB" w:rsidRDefault="002E47DB" w:rsidP="004F468F">
    <w:pPr>
      <w:pStyle w:val="a3"/>
    </w:pPr>
    <w:r>
      <w:rPr>
        <w:rFonts w:hint="eastAsia"/>
      </w:rPr>
      <w:t>-</w:t>
    </w:r>
    <w:r>
      <w:t>-------------------------------------------------------------------------</w:t>
    </w:r>
  </w:p>
  <w:p w:rsidR="002E47DB" w:rsidRDefault="002E47DB" w:rsidP="004F468F">
    <w:pPr>
      <w:pStyle w:val="a3"/>
    </w:pPr>
    <w:r>
      <w:rPr>
        <w:rFonts w:hint="eastAsia"/>
      </w:rPr>
      <w:t>＜記入欄＞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bordersDoNotSurroundHeader/>
  <w:bordersDoNotSurroundFooter/>
  <w:proofState w:spelling="clean" w:grammar="dirty"/>
  <w:defaultTabStop w:val="839"/>
  <w:drawingGridHorizontalSpacing w:val="237"/>
  <w:drawingGridVerticalSpacing w:val="34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26"/>
    <w:rsid w:val="000974AE"/>
    <w:rsid w:val="000D0826"/>
    <w:rsid w:val="000D3152"/>
    <w:rsid w:val="00173FEC"/>
    <w:rsid w:val="002E47DB"/>
    <w:rsid w:val="00312794"/>
    <w:rsid w:val="003E2502"/>
    <w:rsid w:val="004D566F"/>
    <w:rsid w:val="004F468F"/>
    <w:rsid w:val="005420E2"/>
    <w:rsid w:val="0054304B"/>
    <w:rsid w:val="005A386B"/>
    <w:rsid w:val="007A5C0B"/>
    <w:rsid w:val="007B15A8"/>
    <w:rsid w:val="00871D34"/>
    <w:rsid w:val="008B07E3"/>
    <w:rsid w:val="009974AE"/>
    <w:rsid w:val="00B219F6"/>
    <w:rsid w:val="00B66111"/>
    <w:rsid w:val="00C412B2"/>
    <w:rsid w:val="00C547CD"/>
    <w:rsid w:val="00CF53D0"/>
    <w:rsid w:val="00D4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489227-E69C-414B-9A5B-BB24272A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7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"/>
    <w:basedOn w:val="a"/>
    <w:link w:val="10"/>
    <w:qFormat/>
    <w:rsid w:val="007B15A8"/>
    <w:pPr>
      <w:jc w:val="both"/>
    </w:pPr>
    <w:rPr>
      <w:rFonts w:ascii="ＭＳ ゴシック" w:eastAsia="ＭＳ ゴシック" w:hAnsi="ＭＳ ゴシック" w:cs="Times New Roman"/>
      <w:sz w:val="21"/>
      <w:szCs w:val="21"/>
    </w:rPr>
  </w:style>
  <w:style w:type="character" w:customStyle="1" w:styleId="10">
    <w:name w:val="(1) (文字)"/>
    <w:link w:val="1"/>
    <w:rsid w:val="007B15A8"/>
    <w:rPr>
      <w:rFonts w:ascii="ＭＳ ゴシック" w:eastAsia="ＭＳ ゴシック" w:hAnsi="ＭＳ ゴシック" w:cs="Times New Roman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0D0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826"/>
  </w:style>
  <w:style w:type="paragraph" w:styleId="a5">
    <w:name w:val="footer"/>
    <w:basedOn w:val="a"/>
    <w:link w:val="a6"/>
    <w:uiPriority w:val="99"/>
    <w:unhideWhenUsed/>
    <w:rsid w:val="000D0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826"/>
  </w:style>
  <w:style w:type="paragraph" w:styleId="a7">
    <w:name w:val="Balloon Text"/>
    <w:basedOn w:val="a"/>
    <w:link w:val="a8"/>
    <w:uiPriority w:val="99"/>
    <w:semiHidden/>
    <w:unhideWhenUsed/>
    <w:rsid w:val="000D3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31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2EB33F32.dotm</Template>
  <TotalTime>97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三戸　尚美</dc:creator>
  <cp:keywords/>
  <dc:description/>
  <cp:lastModifiedBy>三戸　尚美</cp:lastModifiedBy>
  <cp:revision>14</cp:revision>
  <cp:lastPrinted>2021-12-28T04:40:00Z</cp:lastPrinted>
  <dcterms:created xsi:type="dcterms:W3CDTF">2021-11-15T04:01:00Z</dcterms:created>
  <dcterms:modified xsi:type="dcterms:W3CDTF">2022-07-21T03:50:00Z</dcterms:modified>
</cp:coreProperties>
</file>